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C3" w:rsidRDefault="001A60C3">
      <w:pPr>
        <w:pStyle w:val="ConsPlusNormal0"/>
        <w:jc w:val="both"/>
        <w:outlineLvl w:val="0"/>
      </w:pPr>
    </w:p>
    <w:p w:rsidR="001A60C3" w:rsidRDefault="00AB5EEE">
      <w:pPr>
        <w:pStyle w:val="ConsPlusNormal0"/>
        <w:outlineLvl w:val="0"/>
      </w:pPr>
      <w:r>
        <w:t>Зарегистрировано в Минюсте России 20 апреля 2015 г. N 36943</w:t>
      </w:r>
    </w:p>
    <w:p w:rsidR="001A60C3" w:rsidRDefault="001A60C3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r>
        <w:t>МИНИСТЕРСТВО ФИНАНСОВ РОССИЙСКОЙ ФЕДЕРАЦИИ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ФЕДЕРАЛЬНАЯ НАЛОГОВАЯ СЛУЖБА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ПРИКАЗ</w:t>
      </w:r>
    </w:p>
    <w:p w:rsidR="001A60C3" w:rsidRDefault="00AB5EEE">
      <w:pPr>
        <w:pStyle w:val="ConsPlusTitle0"/>
        <w:jc w:val="center"/>
      </w:pPr>
      <w:r>
        <w:t>от 6 апреля 2015 г. N ММВ-7-15/139@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ОБ УТВЕРЖДЕНИИ ФОРМЫ ПЕРЕЧНЯ</w:t>
      </w:r>
    </w:p>
    <w:p w:rsidR="001A60C3" w:rsidRDefault="00AB5EEE">
      <w:pPr>
        <w:pStyle w:val="ConsPlusTitle0"/>
        <w:jc w:val="center"/>
      </w:pPr>
      <w:r>
        <w:t>ЗАЯВЛЕНИЙ О ВВОЗЕ ТОВАРОВ И УПЛАТЕ КОСВЕННЫХ НАЛОГОВ,</w:t>
      </w:r>
    </w:p>
    <w:p w:rsidR="001A60C3" w:rsidRDefault="00AB5EEE">
      <w:pPr>
        <w:pStyle w:val="ConsPlusTitle0"/>
        <w:jc w:val="center"/>
      </w:pPr>
      <w:r>
        <w:t>ПОРЯДКА ЕЕ ЗАПОЛНЕНИЯ И ФОРМАТА ПРЕДСТАВЛЕНИЯ</w:t>
      </w:r>
    </w:p>
    <w:p w:rsidR="001A60C3" w:rsidRDefault="00AB5EEE">
      <w:pPr>
        <w:pStyle w:val="ConsPlusTitle0"/>
        <w:jc w:val="center"/>
      </w:pPr>
      <w:r>
        <w:t>В ЭЛЕКТРОННОМ ВИДЕ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0"/>
      </w:pPr>
      <w:bookmarkStart w:id="0" w:name="_GoBack"/>
      <w:bookmarkEnd w:id="0"/>
      <w:r>
        <w:t>Приложение N 3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</w:pPr>
      <w:r>
        <w:t>Утвержден</w:t>
      </w:r>
    </w:p>
    <w:p w:rsidR="001A60C3" w:rsidRDefault="00AB5EEE">
      <w:pPr>
        <w:pStyle w:val="ConsPlusNormal0"/>
        <w:jc w:val="right"/>
      </w:pPr>
      <w:r>
        <w:t>приказом ФНС России</w:t>
      </w:r>
    </w:p>
    <w:p w:rsidR="001A60C3" w:rsidRDefault="00AB5EEE">
      <w:pPr>
        <w:pStyle w:val="ConsPlusNormal0"/>
        <w:jc w:val="right"/>
      </w:pPr>
      <w:r>
        <w:t>от 06.04.2015 N ММВ-7-15/139@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" w:name="P408"/>
      <w:bookmarkEnd w:id="1"/>
      <w:r>
        <w:t>ФОРМАТ</w:t>
      </w:r>
    </w:p>
    <w:p w:rsidR="001A60C3" w:rsidRDefault="00AB5EEE">
      <w:pPr>
        <w:pStyle w:val="ConsPlusTitle0"/>
        <w:jc w:val="center"/>
      </w:pPr>
      <w:r>
        <w:t>ПРЕДСТАВЛЕНИЯ В ЭЛЕКТРОННОМ ВИДЕ ПЕРЕЧНЯ ЗАЯВЛЕНИЙ О ВВОЗЕ</w:t>
      </w:r>
    </w:p>
    <w:p w:rsidR="001A60C3" w:rsidRDefault="00AB5EEE">
      <w:pPr>
        <w:pStyle w:val="ConsPlusTitle0"/>
        <w:jc w:val="center"/>
      </w:pPr>
      <w:r>
        <w:t>ТОВАРОВ И УПЛАТЕ КОСВЕННЫХ НАЛОГОВ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I. ОБЩИЕ СВЕДЕНИЯ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1. Настоящий формат описывает требования к XML файлам (далее - файлам обмена) передачи в налоговые органы в электронном виде перечня заявлений о ввозе товаров и уплате косвенных налогов.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2. Номер версии настоящего формата 5.01, часть CLIV.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II. ОПИСАНИЕ ФАЙЛА ОБМЕНА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3. Имя файла обмена должно иметь следующий вид:</w:t>
      </w:r>
    </w:p>
    <w:p w:rsidR="001A60C3" w:rsidRPr="00827AA7" w:rsidRDefault="00AB5EEE">
      <w:pPr>
        <w:pStyle w:val="ConsPlusNormal0"/>
        <w:spacing w:before="200"/>
        <w:ind w:firstLine="540"/>
        <w:jc w:val="both"/>
        <w:rPr>
          <w:lang w:val="en-US"/>
        </w:rPr>
      </w:pPr>
      <w:r w:rsidRPr="00827AA7">
        <w:rPr>
          <w:lang w:val="en-US"/>
        </w:rPr>
        <w:t xml:space="preserve">R_T_A_K_O_GGGGMMDD_N, </w:t>
      </w:r>
      <w:r>
        <w:t>где</w:t>
      </w:r>
      <w:r w:rsidRPr="00827AA7">
        <w:rPr>
          <w:lang w:val="en-US"/>
        </w:rPr>
        <w:t>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R_T - префикс, принимающий значение NO_PERZV;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A_K - идентификатор получателя информации, где: A - идентификатор получателя, которому направляется файл обмена, K - идентификатор конечного получателя, для которого предназначена информация из данного файла обмена &lt;1&gt;. Каждый из идентификаторов (A и K) имеет вид для налоговых органов - четырехразрядный код (код налогового органа в соответствии с классификатором "Система обозначения налоговых органов" (СОНО);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O - идентификатор отправителя информации, имеет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lastRenderedPageBreak/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наличии. При отсутствии ИНН - последовательность из двенадцати нулей).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N - идентификационный номер файла. (Длина - от 1 до 36 знаков. Идентификационный номер файла должен обеспечивать уникальность файла).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может указываться как строчными, так и прописными буквами.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следующий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NO_PERZV_ 1_154_00_05_01_xx, где xx - номер версии схемы.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официальном сайте Федеральной налоговой службы.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4. Логическая модель файла обмена представлена в виде диаграммы структуры файла обмена на </w:t>
      </w:r>
      <w:hyperlink w:anchor="P536" w:tooltip="Рисунок 1. Диаграмма структуры файла обмена">
        <w:r>
          <w:rPr>
            <w:color w:val="0000FF"/>
          </w:rPr>
          <w:t>рисунке 1</w:t>
        </w:r>
      </w:hyperlink>
      <w:r>
        <w:t xml:space="preserve">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</w:t>
      </w:r>
      <w:hyperlink w:anchor="P540" w:tooltip="Файл обмена (Файл)">
        <w:r>
          <w:rPr>
            <w:color w:val="0000FF"/>
          </w:rPr>
          <w:t>таблицах 4.1</w:t>
        </w:r>
      </w:hyperlink>
      <w:r>
        <w:t xml:space="preserve"> - </w:t>
      </w:r>
      <w:hyperlink w:anchor="P945" w:tooltip="Фамилия, имя, отчество (ФИОТип)">
        <w:r>
          <w:rPr>
            <w:color w:val="0000FF"/>
          </w:rPr>
          <w:t>4.12</w:t>
        </w:r>
      </w:hyperlink>
      <w:r>
        <w:t xml:space="preserve"> настоящего формата.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 &lt;1&gt;;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наличия в файле обмена только одного элемента из описанных в этой строке.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дробное).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Формат символьной строки указывается в виде T(n-k) или T(=k), где: n - минимальное количество знаков, к - максимальное количество знаков, символ "-" - разделитель, символ "=" означает фиксированное </w:t>
      </w:r>
      <w:r>
        <w:lastRenderedPageBreak/>
        <w:t>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неограничено, формат имеет вид T(n-).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Формат числового значения указывается в виде N (m.K), где: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 (m).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простых элементов, являющихся базовыми в XML (определенными в сети интернет по электронному адресу: http://www.w3.org/TR/xmlschema-0), например,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количество реализаций элемента может быть более одной, то признак обязательности элемента дополняется символом "М". Например, "НМ", "ОКМ".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предъявляемых к элементу в файле обмена, описанных в графе "Дополнительная информация". Например, "НУ", "ОКУ";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│┌─┐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││-│ attributes│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│└─┘           └──────┐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 │ИдФайл 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┌┤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Идентификатор файла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┌─────────────┐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│ВерсПрог     │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└─────────────┘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Версия программы,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с помощью которой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сформирован файл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┌──────────────┐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│ВерсФорм      │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└──────────────┘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Версия формата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│└─────────────────────┘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│┌─┐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││-│ attributes│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│└─┘           └──────┐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┌──────┐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│</w:t>
      </w:r>
      <w:hyperlink r:id="rId6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<w:r>
          <w:rPr>
            <w:color w:val="0000FF"/>
            <w:sz w:val="18"/>
          </w:rPr>
          <w:t>КНД</w:t>
        </w:r>
      </w:hyperlink>
      <w:r>
        <w:rPr>
          <w:sz w:val="18"/>
        </w:rPr>
        <w:t xml:space="preserve">   │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lastRenderedPageBreak/>
        <w:t xml:space="preserve">            │                                    │ └──────┘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Код формы отчетности│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по </w:t>
      </w:r>
      <w:hyperlink r:id="rId7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<w:r>
          <w:rPr>
            <w:color w:val="0000FF"/>
            <w:sz w:val="18"/>
          </w:rPr>
          <w:t>КНД</w:t>
        </w:r>
      </w:hyperlink>
      <w:r>
        <w:rPr>
          <w:sz w:val="18"/>
        </w:rPr>
        <w:t xml:space="preserve">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│ДатаДок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┌┤ Дата формирования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документа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┌───────┐   │                                   ││ ┌───────────┐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│      ┌┴┐  │                                   ││ │Период     │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│ Файл │-├──┤                                   ││ └───────────┘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│      └┬┘  │                                   ││ Налоговый период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└───────┘   │                                   ││ ┌─────────────┐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Файл обмена │                                   ││ │ОтчетГод     │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└─────────────┘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Отчетный год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│КодНО  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Код налогового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органа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│НомКорр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/───────\    ┌─────────────────┐  ││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│       ├─┐  │                ┌┴┐ ││ Номер 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└─┤-.-.-.-│-├──┤ Документ       │-├─┤│ корректировки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│       ├─┘  │                └┬┘ ││ ┌────────┐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\───────/    └─────────────────┘  ││ │КодНД   │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Состав и структура  ││ └────────┘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документа           ││ Код налоговой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││ декларации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│└─────────────────────┘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 ┌──────┐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 │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┌┤СвНП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││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│└──────┘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 Сведения о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 налогоплательщике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/───────\  │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│       ├─┐│ │        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└─┤-.-.-.-│-├┼─┤Подписант   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│       ├─┘│ │        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\───────/  │ └──────────────┘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Лицо, подписавшее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документ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┌────────────┐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│      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└─┤ПерЗаяв   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│      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└────────────┘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Перечень заявлений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о ввозе товаров и уплате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косвенных налогов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center"/>
      </w:pPr>
      <w:bookmarkStart w:id="2" w:name="P536"/>
      <w:bookmarkEnd w:id="2"/>
      <w:r>
        <w:t>Рисунок 1. Диаграмма структуры файла обмена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3" w:name="P540"/>
      <w:bookmarkEnd w:id="3"/>
      <w:r>
        <w:t>Файл обмена (Файл)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4"/>
        <w:gridCol w:w="1594"/>
        <w:gridCol w:w="1064"/>
        <w:gridCol w:w="1064"/>
        <w:gridCol w:w="1734"/>
        <w:gridCol w:w="1974"/>
      </w:tblGrid>
      <w:tr w:rsidR="001A60C3">
        <w:tc>
          <w:tcPr>
            <w:tcW w:w="1764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Версия формата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>Принимает значение: 5.01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575" w:tooltip="Состав и структура документа (Документ)">
              <w:r>
                <w:rPr>
                  <w:color w:val="0000FF"/>
                </w:rPr>
                <w:t>таблице 4.2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4.2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4" w:name="P575"/>
      <w:bookmarkEnd w:id="4"/>
      <w:r>
        <w:t>Состав и структура документа (Документ)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201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 xml:space="preserve">Код формы отчетности по </w:t>
            </w:r>
            <w:hyperlink r:id="rId8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>
                <w:rPr>
                  <w:color w:val="0000FF"/>
                </w:rPr>
                <w:t>КНД</w:t>
              </w:r>
            </w:hyperlink>
          </w:p>
        </w:tc>
        <w:tc>
          <w:tcPr>
            <w:tcW w:w="1594" w:type="dxa"/>
          </w:tcPr>
          <w:p w:rsidR="001A60C3" w:rsidRDefault="009938E8">
            <w:pPr>
              <w:pStyle w:val="ConsPlusNormal0"/>
              <w:jc w:val="center"/>
            </w:pPr>
            <w:hyperlink r:id="rId9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 w:rsidR="00AB5EEE">
                <w:rPr>
                  <w:color w:val="0000FF"/>
                </w:rPr>
                <w:t>КНД</w:t>
              </w:r>
            </w:hyperlink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&lt;КНДТип&gt;. Принимает значение: 1150035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Дата формирования документа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ДатаДок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&lt;ДатаТип&gt;.</w:t>
            </w:r>
          </w:p>
          <w:p w:rsidR="001A60C3" w:rsidRDefault="00AB5EEE">
            <w:pPr>
              <w:pStyle w:val="ConsPlusNormal0"/>
            </w:pPr>
            <w:r>
              <w:t>Дата в формате ДД.ММ.ГГГГ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Налоговый период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Период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01 - январь |</w:t>
            </w:r>
          </w:p>
          <w:p w:rsidR="001A60C3" w:rsidRDefault="00AB5EEE">
            <w:pPr>
              <w:pStyle w:val="ConsPlusNormal0"/>
            </w:pPr>
            <w:r>
              <w:t>02 - февраль |</w:t>
            </w:r>
          </w:p>
          <w:p w:rsidR="001A60C3" w:rsidRDefault="00AB5EEE">
            <w:pPr>
              <w:pStyle w:val="ConsPlusNormal0"/>
            </w:pPr>
            <w:r>
              <w:t>03 - март |</w:t>
            </w:r>
          </w:p>
          <w:p w:rsidR="001A60C3" w:rsidRDefault="00AB5EEE">
            <w:pPr>
              <w:pStyle w:val="ConsPlusNormal0"/>
            </w:pPr>
            <w:r>
              <w:t>04 - апрель |</w:t>
            </w:r>
          </w:p>
          <w:p w:rsidR="001A60C3" w:rsidRDefault="00AB5EEE">
            <w:pPr>
              <w:pStyle w:val="ConsPlusNormal0"/>
            </w:pPr>
            <w:r>
              <w:t>05 - май |</w:t>
            </w:r>
          </w:p>
          <w:p w:rsidR="001A60C3" w:rsidRDefault="00AB5EEE">
            <w:pPr>
              <w:pStyle w:val="ConsPlusNormal0"/>
            </w:pPr>
            <w:r>
              <w:t>06 - июнь |</w:t>
            </w:r>
          </w:p>
          <w:p w:rsidR="001A60C3" w:rsidRDefault="00AB5EEE">
            <w:pPr>
              <w:pStyle w:val="ConsPlusNormal0"/>
            </w:pPr>
            <w:r>
              <w:t>07 - июль |</w:t>
            </w:r>
          </w:p>
          <w:p w:rsidR="001A60C3" w:rsidRDefault="00AB5EEE">
            <w:pPr>
              <w:pStyle w:val="ConsPlusNormal0"/>
            </w:pPr>
            <w:r>
              <w:t>08 - август |</w:t>
            </w:r>
          </w:p>
          <w:p w:rsidR="001A60C3" w:rsidRDefault="00AB5EEE">
            <w:pPr>
              <w:pStyle w:val="ConsPlusNormal0"/>
            </w:pPr>
            <w:r>
              <w:t>09 - сентябрь |</w:t>
            </w:r>
          </w:p>
          <w:p w:rsidR="001A60C3" w:rsidRDefault="00AB5EEE">
            <w:pPr>
              <w:pStyle w:val="ConsPlusNormal0"/>
            </w:pPr>
            <w:r>
              <w:t>10 - октябрь |</w:t>
            </w:r>
          </w:p>
          <w:p w:rsidR="001A60C3" w:rsidRDefault="00AB5EEE">
            <w:pPr>
              <w:pStyle w:val="ConsPlusNormal0"/>
            </w:pPr>
            <w:r>
              <w:t>11 - ноябрь |</w:t>
            </w:r>
          </w:p>
          <w:p w:rsidR="001A60C3" w:rsidRDefault="00AB5EEE">
            <w:pPr>
              <w:pStyle w:val="ConsPlusNormal0"/>
            </w:pPr>
            <w:r>
              <w:lastRenderedPageBreak/>
              <w:t>12 - декабрь |</w:t>
            </w:r>
          </w:p>
          <w:p w:rsidR="001A60C3" w:rsidRDefault="00AB5EEE">
            <w:pPr>
              <w:pStyle w:val="ConsPlusNormal0"/>
            </w:pPr>
            <w:r>
              <w:t>21 - I квартал |</w:t>
            </w:r>
          </w:p>
          <w:p w:rsidR="001A60C3" w:rsidRDefault="00AB5EEE">
            <w:pPr>
              <w:pStyle w:val="ConsPlusNormal0"/>
            </w:pPr>
            <w:r>
              <w:t>22 - II квартал |</w:t>
            </w:r>
          </w:p>
          <w:p w:rsidR="001A60C3" w:rsidRDefault="00AB5EEE">
            <w:pPr>
              <w:pStyle w:val="ConsPlusNormal0"/>
            </w:pPr>
            <w:r>
              <w:t>23 - III квартал |</w:t>
            </w:r>
          </w:p>
          <w:p w:rsidR="001A60C3" w:rsidRDefault="00AB5EEE">
            <w:pPr>
              <w:pStyle w:val="ConsPlusNormal0"/>
            </w:pPr>
            <w:r>
              <w:t>24 - IV квартал |</w:t>
            </w:r>
          </w:p>
          <w:p w:rsidR="001A60C3" w:rsidRDefault="00AB5EEE">
            <w:pPr>
              <w:pStyle w:val="ConsPlusNormal0"/>
            </w:pPr>
            <w:r>
              <w:t>51 - 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54 - II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55 - III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56 - IV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71 - за январь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72 - за февраль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73 - за март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74 - за апрель при реорганизации</w:t>
            </w:r>
          </w:p>
          <w:p w:rsidR="001A60C3" w:rsidRDefault="00AB5EEE">
            <w:pPr>
              <w:pStyle w:val="ConsPlusNormal0"/>
            </w:pPr>
            <w:r>
              <w:t>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75 - за май при реорганизации (ликвидации)</w:t>
            </w:r>
          </w:p>
          <w:p w:rsidR="001A60C3" w:rsidRDefault="00AB5EEE">
            <w:pPr>
              <w:pStyle w:val="ConsPlusNormal0"/>
            </w:pPr>
            <w:r>
              <w:t>организации |</w:t>
            </w:r>
          </w:p>
          <w:p w:rsidR="001A60C3" w:rsidRDefault="00AB5EEE">
            <w:pPr>
              <w:pStyle w:val="ConsPlusNormal0"/>
            </w:pPr>
            <w:r>
              <w:t>76 - за июнь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77 - за июль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78 - за август при реорганизации (ликвидации) ликвидации организации |</w:t>
            </w:r>
          </w:p>
          <w:p w:rsidR="001A60C3" w:rsidRDefault="00AB5EEE">
            <w:pPr>
              <w:pStyle w:val="ConsPlusNormal0"/>
            </w:pPr>
            <w:r>
              <w:t xml:space="preserve">79 - за сентябрь при реорганизации </w:t>
            </w:r>
            <w:r>
              <w:lastRenderedPageBreak/>
              <w:t>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80 - за октябрь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81 - за ноябрь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82 - за декабрь при реорганизации (ликвидации) организации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>Отчетный год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ОтчетГод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&lt;xs:gYear&gt;.</w:t>
            </w:r>
          </w:p>
          <w:p w:rsidR="001A60C3" w:rsidRDefault="00AB5EEE">
            <w:pPr>
              <w:pStyle w:val="ConsPlusNormal0"/>
            </w:pPr>
            <w:r>
              <w:t>Год в формате ГГГГ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Код налогового органа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КодНО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T(=4)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&lt;СОНОТип&gt;. Значение выбирается в соответствии с классификатором "Система обозначений налоговых органов"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0 - первичный документ,</w:t>
            </w:r>
          </w:p>
          <w:p w:rsidR="001A60C3" w:rsidRDefault="00AB5EEE">
            <w:pPr>
              <w:pStyle w:val="ConsPlusNormal0"/>
            </w:pPr>
            <w:r>
              <w:t>1 - 999 - номер корректировки для корректирующего документа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Код налоговой декларации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КодНД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Типовой элемент &lt;КНДТип&gt;. Принимает значение </w:t>
            </w:r>
            <w:hyperlink r:id="rId10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>
                <w:rPr>
                  <w:color w:val="0000FF"/>
                </w:rPr>
                <w:t>КНД</w:t>
              </w:r>
            </w:hyperlink>
            <w:r>
              <w:t xml:space="preserve"> налоговой декларации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Сведения о налогоплательщике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СвНП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684" w:tooltip="Сведения о налогоплательщике (СвНП)">
              <w:r>
                <w:rPr>
                  <w:color w:val="0000FF"/>
                </w:rPr>
                <w:t>таблице 4.3</w:t>
              </w:r>
            </w:hyperlink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Лицо, подписавшее документ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Подписант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04" w:tooltip="Лицо, подписавшее документ (Подписант)">
              <w:r>
                <w:rPr>
                  <w:color w:val="0000FF"/>
                </w:rPr>
                <w:t>таблице 4.7</w:t>
              </w:r>
            </w:hyperlink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 xml:space="preserve">Перечень заявлений о ввозе товаров и уплате косвенных </w:t>
            </w:r>
            <w:r>
              <w:lastRenderedPageBreak/>
              <w:t>налогов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ПерЗаяв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63" w:tooltip="Перечень заявлений о ввозе товаров и уплате косвенных">
              <w:r>
                <w:rPr>
                  <w:color w:val="0000FF"/>
                </w:rPr>
                <w:t>таблице 4.9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4.3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5" w:name="P684"/>
      <w:bookmarkEnd w:id="5"/>
      <w:r>
        <w:t>Сведения о налогоплательщике (СвНП)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4"/>
        <w:gridCol w:w="1594"/>
        <w:gridCol w:w="1064"/>
        <w:gridCol w:w="1064"/>
        <w:gridCol w:w="1734"/>
        <w:gridCol w:w="1834"/>
      </w:tblGrid>
      <w:tr w:rsidR="001A60C3"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blPrEx>
          <w:tblBorders>
            <w:insideH w:val="none" w:sz="0" w:space="0" w:color="auto"/>
          </w:tblBorders>
        </w:tblPrEx>
        <w:tc>
          <w:tcPr>
            <w:tcW w:w="211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</w:pPr>
            <w:r>
              <w:t>Налогоплательщик - организация |</w:t>
            </w:r>
          </w:p>
        </w:tc>
        <w:tc>
          <w:tcPr>
            <w:tcW w:w="159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НПЮЛ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07" w:tooltip="Налогоплательщик - организация (НПЮЛ)">
              <w:r>
                <w:rPr>
                  <w:color w:val="0000FF"/>
                </w:rPr>
                <w:t>таблице 4.4</w:t>
              </w:r>
            </w:hyperlink>
          </w:p>
        </w:tc>
      </w:tr>
      <w:tr w:rsidR="001A60C3">
        <w:tblPrEx>
          <w:tblBorders>
            <w:insideH w:val="none" w:sz="0" w:space="0" w:color="auto"/>
          </w:tblBorders>
        </w:tblPrEx>
        <w:tc>
          <w:tcPr>
            <w:tcW w:w="211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</w:pPr>
            <w:r>
              <w:t>Налогоплательщик - физическое лицо</w:t>
            </w:r>
          </w:p>
        </w:tc>
        <w:tc>
          <w:tcPr>
            <w:tcW w:w="159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НПФЛ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80" w:tooltip="Налогоплательщик - физическое лицо (НПФЛ)">
              <w:r>
                <w:rPr>
                  <w:color w:val="0000FF"/>
                </w:rPr>
                <w:t>таблице 4.6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4.4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6" w:name="P707"/>
      <w:bookmarkEnd w:id="6"/>
      <w:r>
        <w:t>Налогоплательщик - организация (НПЮЛ)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4"/>
        <w:gridCol w:w="1594"/>
        <w:gridCol w:w="1064"/>
        <w:gridCol w:w="1064"/>
        <w:gridCol w:w="1734"/>
        <w:gridCol w:w="1834"/>
      </w:tblGrid>
      <w:tr w:rsidR="001A60C3">
        <w:tc>
          <w:tcPr>
            <w:tcW w:w="211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ИНН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КПП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&lt;КППТип&gt;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Сведения о реорганизованной (ликвидированной)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СвРеоргЮЛ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42" w:tooltip="Сведения о реорганизованной (ликвидированной)">
              <w:r>
                <w:rPr>
                  <w:color w:val="0000FF"/>
                </w:rPr>
                <w:t>таблице 4.5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4.5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7" w:name="P742"/>
      <w:bookmarkEnd w:id="7"/>
      <w:r>
        <w:t>Сведения о реорганизованной (ликвидированной)</w:t>
      </w:r>
    </w:p>
    <w:p w:rsidR="001A60C3" w:rsidRDefault="00AB5EEE">
      <w:pPr>
        <w:pStyle w:val="ConsPlusTitle0"/>
        <w:jc w:val="center"/>
      </w:pPr>
      <w:r>
        <w:t>организации (СвРеоргЮЛ)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4"/>
        <w:gridCol w:w="1594"/>
        <w:gridCol w:w="1064"/>
        <w:gridCol w:w="1064"/>
        <w:gridCol w:w="1734"/>
        <w:gridCol w:w="1854"/>
      </w:tblGrid>
      <w:tr w:rsidR="001A60C3">
        <w:tc>
          <w:tcPr>
            <w:tcW w:w="166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t>Код формы реорганизации (ликвидация)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ФормРеорг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0 - ликвидация |</w:t>
            </w:r>
          </w:p>
          <w:p w:rsidR="001A60C3" w:rsidRDefault="00AB5EEE">
            <w:pPr>
              <w:pStyle w:val="ConsPlusNormal0"/>
            </w:pPr>
            <w:r>
              <w:t xml:space="preserve">1 - </w:t>
            </w:r>
            <w:r>
              <w:lastRenderedPageBreak/>
              <w:t>преобразование |</w:t>
            </w:r>
          </w:p>
          <w:p w:rsidR="001A60C3" w:rsidRDefault="00AB5EEE">
            <w:pPr>
              <w:pStyle w:val="ConsPlusNormal0"/>
            </w:pPr>
            <w:r>
              <w:t>2 - слияние |</w:t>
            </w:r>
          </w:p>
          <w:p w:rsidR="001A60C3" w:rsidRDefault="00AB5EEE">
            <w:pPr>
              <w:pStyle w:val="ConsPlusNormal0"/>
            </w:pPr>
            <w:r>
              <w:t>3 - разделение |</w:t>
            </w:r>
          </w:p>
          <w:p w:rsidR="001A60C3" w:rsidRDefault="00AB5EEE">
            <w:pPr>
              <w:pStyle w:val="ConsPlusNormal0"/>
            </w:pPr>
            <w:r>
              <w:t>5 - присоединение |</w:t>
            </w:r>
          </w:p>
          <w:p w:rsidR="001A60C3" w:rsidRDefault="00AB5EEE">
            <w:pPr>
              <w:pStyle w:val="ConsPlusNormal0"/>
            </w:pPr>
            <w:r>
              <w:t>6 - разделение с одновременным присоединением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lastRenderedPageBreak/>
              <w:t>ИНН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Типовой элемент &lt;ИННЮЛТип&gt;</w:t>
            </w:r>
          </w:p>
          <w:p w:rsidR="001A60C3" w:rsidRDefault="00AB5EEE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t>КПП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Типовой элемент &lt;КППТип&gt;</w:t>
            </w:r>
          </w:p>
          <w:p w:rsidR="001A60C3" w:rsidRDefault="00AB5EEE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4.6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8" w:name="P780"/>
      <w:bookmarkEnd w:id="8"/>
      <w:r>
        <w:t>Налогоплательщик - физическое лицо (НПФЛ)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4"/>
        <w:gridCol w:w="1594"/>
        <w:gridCol w:w="1064"/>
        <w:gridCol w:w="1064"/>
        <w:gridCol w:w="1734"/>
        <w:gridCol w:w="1834"/>
      </w:tblGrid>
      <w:tr w:rsidR="001A60C3">
        <w:tc>
          <w:tcPr>
            <w:tcW w:w="163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>ИНН физического лица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ИННФЛ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T(=12)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&lt;ИННФЛТип&gt;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>Фамилия, имя, отчество физического лица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&lt;ФИОТип&gt;.</w:t>
            </w:r>
          </w:p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45" w:tooltip="Фамилия, имя, отчество (ФИОТип)">
              <w:r>
                <w:rPr>
                  <w:color w:val="0000FF"/>
                </w:rPr>
                <w:t>таблице 4.12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4.7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9" w:name="P804"/>
      <w:bookmarkEnd w:id="9"/>
      <w:r>
        <w:t>Лицо, подписавшее документ (Подписант)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218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Признак лица, подписавшего документ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ПрПодп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1 - налогоплательщик |</w:t>
            </w:r>
          </w:p>
          <w:p w:rsidR="001A60C3" w:rsidRDefault="00AB5EEE">
            <w:pPr>
              <w:pStyle w:val="ConsPlusNormal0"/>
            </w:pPr>
            <w:r>
              <w:t>2 - представитель налогоплательщика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>Фамилия, имя, отчество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Типовой элемент &lt;ФИОТип&gt;.</w:t>
            </w:r>
          </w:p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45" w:tooltip="Фамилия, имя, отчество (ФИОТип)">
              <w:r>
                <w:rPr>
                  <w:color w:val="0000FF"/>
                </w:rPr>
                <w:t>таблице 4.12</w:t>
              </w:r>
            </w:hyperlink>
            <w:r>
              <w:t>.</w:t>
            </w:r>
          </w:p>
          <w:p w:rsidR="001A60C3" w:rsidRDefault="00AB5EEE">
            <w:pPr>
              <w:pStyle w:val="ConsPlusNormal0"/>
            </w:pPr>
            <w:r>
              <w:t>Элемент обязателен при выполнении одного из условий:</w:t>
            </w:r>
          </w:p>
          <w:p w:rsidR="001A60C3" w:rsidRDefault="00AB5EEE">
            <w:pPr>
              <w:pStyle w:val="ConsPlusNormal0"/>
            </w:pPr>
            <w:r>
              <w:t>- &lt;ПрПодп&gt; = 2 |</w:t>
            </w:r>
          </w:p>
          <w:p w:rsidR="001A60C3" w:rsidRDefault="00AB5EEE">
            <w:pPr>
              <w:pStyle w:val="ConsPlusNormal0"/>
            </w:pPr>
            <w:r>
              <w:t>- &lt;ПрПодп&gt; = 1 и наличие &lt;НПЮЛ&gt;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Сведения о представителе налогоплательщика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СвПред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40" w:tooltip="Сведения о представителе налогоплательщика (СвПред)">
              <w:r>
                <w:rPr>
                  <w:color w:val="0000FF"/>
                </w:rPr>
                <w:t>таблице 4.8</w:t>
              </w:r>
            </w:hyperlink>
            <w:r>
              <w:t>.</w:t>
            </w:r>
          </w:p>
          <w:p w:rsidR="001A60C3" w:rsidRDefault="00AB5EEE">
            <w:pPr>
              <w:pStyle w:val="ConsPlusNormal0"/>
            </w:pPr>
            <w:r>
              <w:t>Элемент обязателен при &lt;ПрПодп&gt; = 2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4.8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0" w:name="P840"/>
      <w:bookmarkEnd w:id="10"/>
      <w:r>
        <w:t>Сведения о представителе налогоплательщика (СвПред)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183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Наименование документа, подтверждающего полномочия представителя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НаимДок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T(1-120)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Наименование организации - представителя налогоплательщика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4.9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1" w:name="P863"/>
      <w:bookmarkEnd w:id="11"/>
      <w:r>
        <w:t>Перечень заявлений о ввозе товаров и уплате косвенных</w:t>
      </w:r>
    </w:p>
    <w:p w:rsidR="001A60C3" w:rsidRDefault="00AB5EEE">
      <w:pPr>
        <w:pStyle w:val="ConsPlusTitle0"/>
        <w:jc w:val="center"/>
      </w:pPr>
      <w:r>
        <w:t>налогов (ПерЗаяв)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4"/>
        <w:gridCol w:w="1594"/>
        <w:gridCol w:w="1064"/>
        <w:gridCol w:w="1064"/>
        <w:gridCol w:w="1734"/>
        <w:gridCol w:w="1834"/>
      </w:tblGrid>
      <w:tr w:rsidR="001A60C3">
        <w:tc>
          <w:tcPr>
            <w:tcW w:w="195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954" w:type="dxa"/>
          </w:tcPr>
          <w:p w:rsidR="001A60C3" w:rsidRDefault="00AB5EEE">
            <w:pPr>
              <w:pStyle w:val="ConsPlusNormal0"/>
            </w:pPr>
            <w:r>
              <w:t xml:space="preserve">Реквизиты заявлений о ввозе товаров и уплате косвенных налогов, подтверждающие обоснованность применения </w:t>
            </w:r>
            <w:r>
              <w:lastRenderedPageBreak/>
              <w:t>нулевой ставки налога на добавленную стоимость и (или) освобождения от уплаты акцизов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РеквЗаяв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81" w:tooltip="Реквизиты заявлений о ввозе товаров и уплате косвенных">
              <w:r>
                <w:rPr>
                  <w:color w:val="0000FF"/>
                </w:rPr>
                <w:t>таблице 4.10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4.10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2" w:name="P881"/>
      <w:bookmarkEnd w:id="12"/>
      <w:r>
        <w:t>Реквизиты заявлений о ввозе товаров и уплате косвенных</w:t>
      </w:r>
    </w:p>
    <w:p w:rsidR="001A60C3" w:rsidRDefault="00AB5EEE">
      <w:pPr>
        <w:pStyle w:val="ConsPlusTitle0"/>
        <w:jc w:val="center"/>
      </w:pPr>
      <w:r>
        <w:t>налогов, подтверждающие обоснованность применения нулевой</w:t>
      </w:r>
    </w:p>
    <w:p w:rsidR="001A60C3" w:rsidRDefault="00AB5EEE">
      <w:pPr>
        <w:pStyle w:val="ConsPlusTitle0"/>
        <w:jc w:val="center"/>
      </w:pPr>
      <w:r>
        <w:t>ставки налога на добавленную стоимость и (или) освобождения</w:t>
      </w:r>
    </w:p>
    <w:p w:rsidR="001A60C3" w:rsidRDefault="00AB5EEE">
      <w:pPr>
        <w:pStyle w:val="ConsPlusTitle0"/>
        <w:jc w:val="center"/>
      </w:pPr>
      <w:r>
        <w:t>от уплаты акцизов (РеквЗаяв)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4"/>
        <w:gridCol w:w="1594"/>
        <w:gridCol w:w="1064"/>
        <w:gridCol w:w="1064"/>
        <w:gridCol w:w="1734"/>
        <w:gridCol w:w="1834"/>
      </w:tblGrid>
      <w:tr w:rsidR="001A60C3">
        <w:tc>
          <w:tcPr>
            <w:tcW w:w="163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>Сведения о регистрации заявления в налоговом органе и покупателе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СвЗаявПок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01" w:tooltip="Сведения о регистрации заявления в налоговом органе">
              <w:r>
                <w:rPr>
                  <w:color w:val="0000FF"/>
                </w:rPr>
                <w:t>таблице 4.11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4.11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3" w:name="P901"/>
      <w:bookmarkEnd w:id="13"/>
      <w:r>
        <w:t>Сведения о регистрации заявления в налоговом органе</w:t>
      </w:r>
    </w:p>
    <w:p w:rsidR="001A60C3" w:rsidRDefault="00AB5EEE">
      <w:pPr>
        <w:pStyle w:val="ConsPlusTitle0"/>
        <w:jc w:val="center"/>
      </w:pPr>
      <w:r>
        <w:t>и покупателе (СвЗаявПок)</w:t>
      </w: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sectPr w:rsidR="001A60C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8"/>
        <w:gridCol w:w="1638"/>
        <w:gridCol w:w="1142"/>
        <w:gridCol w:w="1231"/>
        <w:gridCol w:w="1219"/>
        <w:gridCol w:w="3240"/>
      </w:tblGrid>
      <w:tr w:rsidR="001A60C3">
        <w:tc>
          <w:tcPr>
            <w:tcW w:w="2888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Номер отметки о регистрации заявления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НомерОтмет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T(1-18)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Дата отметки о регистрации заявления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ДатаОтмет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Типовой элемент &lt;ДатаТип&gt;.</w:t>
            </w:r>
          </w:p>
          <w:p w:rsidR="001A60C3" w:rsidRDefault="00AB5EEE">
            <w:pPr>
              <w:pStyle w:val="ConsPlusNormal0"/>
            </w:pPr>
            <w:r>
              <w:t>Дата в формате ДД.ММ.ГГГГ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Раздел заявления, в котором располагаются реквизиты продавца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РазделЗаяв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Принимает значение: 1 | 3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Идентификационный код (номер) покупателя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ИдНомер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T(8-14)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Код страны покупателя</w:t>
            </w:r>
          </w:p>
        </w:tc>
        <w:tc>
          <w:tcPr>
            <w:tcW w:w="1638" w:type="dxa"/>
          </w:tcPr>
          <w:p w:rsidR="001A60C3" w:rsidRDefault="009938E8">
            <w:pPr>
              <w:pStyle w:val="ConsPlusNormal0"/>
              <w:jc w:val="center"/>
            </w:pPr>
            <w:hyperlink r:id="rId15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      <w:r w:rsidR="00AB5EEE">
                <w:rPr>
                  <w:color w:val="0000FF"/>
                </w:rPr>
                <w:t>ОКСМ</w:t>
              </w:r>
            </w:hyperlink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Типовой элемент &lt;ОКСМТип&gt;.</w:t>
            </w:r>
          </w:p>
          <w:p w:rsidR="001A60C3" w:rsidRDefault="00AB5EEE">
            <w:pPr>
              <w:pStyle w:val="ConsPlusNormal0"/>
            </w:pPr>
            <w:r>
              <w:t xml:space="preserve">Принимает значение в соответствии с Общероссийским </w:t>
            </w:r>
            <w:hyperlink r:id="rId16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стран мира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4.12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4" w:name="P945"/>
      <w:bookmarkEnd w:id="14"/>
      <w:r>
        <w:t>Фамилия, имя, отчество (ФИОТип)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8"/>
        <w:gridCol w:w="1638"/>
        <w:gridCol w:w="1142"/>
        <w:gridCol w:w="1231"/>
        <w:gridCol w:w="1219"/>
        <w:gridCol w:w="3240"/>
      </w:tblGrid>
      <w:tr w:rsidR="001A60C3">
        <w:tc>
          <w:tcPr>
            <w:tcW w:w="2888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Фамилия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Фамилия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Имя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Имя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Отчество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Отчество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</w:tbl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A60C3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8E8" w:rsidRDefault="009938E8">
      <w:r>
        <w:separator/>
      </w:r>
    </w:p>
  </w:endnote>
  <w:endnote w:type="continuationSeparator" w:id="0">
    <w:p w:rsidR="009938E8" w:rsidRDefault="0099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A60C3">
      <w:trPr>
        <w:trHeight w:hRule="exact" w:val="1663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9938E8">
          <w:pPr>
            <w:pStyle w:val="ConsPlusNormal0"/>
            <w:jc w:val="center"/>
          </w:pPr>
          <w:hyperlink r:id="rId1">
            <w:r w:rsidR="00AB5EE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A60C3">
      <w:trPr>
        <w:trHeight w:hRule="exact" w:val="1663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9938E8">
          <w:pPr>
            <w:pStyle w:val="ConsPlusNormal0"/>
            <w:jc w:val="center"/>
          </w:pPr>
          <w:hyperlink r:id="rId1">
            <w:r w:rsidR="00AB5EE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1A60C3">
      <w:trPr>
        <w:trHeight w:hRule="exact" w:val="1170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9938E8">
          <w:pPr>
            <w:pStyle w:val="ConsPlusNormal0"/>
            <w:jc w:val="center"/>
          </w:pPr>
          <w:hyperlink r:id="rId1">
            <w:r w:rsidR="00AB5EE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1A60C3">
      <w:trPr>
        <w:trHeight w:hRule="exact" w:val="1170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9938E8">
          <w:pPr>
            <w:pStyle w:val="ConsPlusNormal0"/>
            <w:jc w:val="center"/>
          </w:pPr>
          <w:hyperlink r:id="rId1">
            <w:r w:rsidR="00AB5EE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7F4443"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8E8" w:rsidRDefault="009938E8">
      <w:r>
        <w:separator/>
      </w:r>
    </w:p>
  </w:footnote>
  <w:footnote w:type="continuationSeparator" w:id="0">
    <w:p w:rsidR="009938E8" w:rsidRDefault="00993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A60C3">
      <w:trPr>
        <w:trHeight w:hRule="exact" w:val="1683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A60C3">
      <w:trPr>
        <w:trHeight w:hRule="exact" w:val="1683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1A60C3">
      <w:trPr>
        <w:trHeight w:hRule="exact" w:val="1190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1A60C3">
      <w:trPr>
        <w:trHeight w:hRule="exact" w:val="1190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60C3"/>
    <w:rsid w:val="001A60C3"/>
    <w:rsid w:val="007F4443"/>
    <w:rsid w:val="00827AA7"/>
    <w:rsid w:val="009938E8"/>
    <w:rsid w:val="00AB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732C3-B288-4841-A2DD-DA58063F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EXP&amp;n=285217&amp;dst=100013" TargetMode="Externa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EXP&amp;n=285217&amp;dst=100013" TargetMode="Externa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6149&amp;dst=100010" TargetMode="Externa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EXP&amp;n=285217&amp;dst=100013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6149&amp;dst=100010" TargetMode="External"/><Relationship Id="rId10" Type="http://schemas.openxmlformats.org/officeDocument/2006/relationships/hyperlink" Target="https://login.consultant.ru/link/?req=doc&amp;base=EXP&amp;n=285217&amp;dst=100013" TargetMode="External"/><Relationship Id="rId19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EXP&amp;n=285217&amp;dst=100013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3562</Words>
  <Characters>20308</Characters>
  <Application>Microsoft Office Word</Application>
  <DocSecurity>0</DocSecurity>
  <Lines>169</Lines>
  <Paragraphs>47</Paragraphs>
  <ScaleCrop>false</ScaleCrop>
  <Company>КонсультантПлюс Версия 4024.00.01</Company>
  <LinksUpToDate>false</LinksUpToDate>
  <CharactersWithSpaces>23823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06.04.2015 N ММВ-7-15/139@
(ред. от 25.09.2018)
"Об утверждении формы Перечня заявлений о ввозе товаров и уплате косвенных налогов, порядка ее заполнения и формата представления в электронном виде"
(Зарегистрировано в Минюсте России 20.04.2015 N 36943)</dc:title>
  <cp:lastModifiedBy>Галкина Наталия Евгеньевна</cp:lastModifiedBy>
  <cp:revision>3</cp:revision>
  <dcterms:created xsi:type="dcterms:W3CDTF">2024-04-03T05:34:00Z</dcterms:created>
  <dcterms:modified xsi:type="dcterms:W3CDTF">2024-04-03T05:38:00Z</dcterms:modified>
</cp:coreProperties>
</file>